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 w:themeColor="background1"/>
  <w:body>
    <w:p>
      <w:pPr>
        <w:pStyle w:val="889"/>
        <w:pBdr/>
        <w:spacing/>
        <w:ind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T</w: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-537114</wp:posOffset>
                </wp:positionH>
                <wp:positionV relativeFrom="paragraph">
                  <wp:posOffset>-123825</wp:posOffset>
                </wp:positionV>
                <wp:extent cx="2842704" cy="1110530"/>
                <wp:effectExtent l="0" t="0" r="0" b="0"/>
                <wp:wrapTopAndBottom/>
                <wp:docPr id="1" name="graphic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2084574" name="graphics1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 rot="0" flipH="0" flipV="0">
                          <a:off x="0" y="0"/>
                          <a:ext cx="2842703" cy="1110529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;o:allowoverlap:true;o:allowincell:true;mso-position-horizontal-relative:text;margin-left:-42.29pt;mso-position-horizontal:absolute;mso-position-vertical-relative:text;margin-top:-9.75pt;mso-position-vertical:absolute;width:223.83pt;height:87.44pt;mso-wrap-distance-left:0.00pt;mso-wrap-distance-top:0.00pt;mso-wrap-distance-right:0.00pt;mso-wrap-distance-bottom:0.00pt;rotation:0;z-index:1;" stroked="false">
                <w10:wrap type="topAndBottom"/>
                <v:imagedata r:id="rId8" o:title=""/>
                <o:lock v:ext="edit" rotation="t"/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he Red Lodge Bash 200 km Permanent Brevet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89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pBdr/>
        <w:spacing/>
        <w:ind w:right="0" w:firstLine="0" w:left="-709"/>
        <w:rPr>
          <w:b w:val="0"/>
          <w:bCs w:val="0"/>
          <w:sz w:val="24"/>
          <w:szCs w:val="24"/>
        </w:rPr>
      </w:pPr>
      <w:r>
        <w:rPr>
          <w:b/>
          <w:bCs/>
          <w:sz w:val="24"/>
          <w:szCs w:val="24"/>
        </w:rPr>
        <w:t xml:space="preserve">Abbreviations:</w:t>
      </w:r>
      <w:r>
        <w:rPr>
          <w:b w:val="0"/>
          <w:bCs w:val="0"/>
          <w:sz w:val="24"/>
          <w:szCs w:val="24"/>
        </w:rPr>
        <w:t xml:space="preserve"> HQ-headquarters, L-left, R-right, @-at, T-t junction, SP-signpost, Info-information GT–green triangle, X-cross roads, RAB-roundabout, opp-opposite, </w:t>
      </w:r>
      <w:r>
        <w:rPr>
          <w:b w:val="0"/>
          <w:bCs w:val="0"/>
          <w:sz w:val="24"/>
          <w:szCs w:val="24"/>
        </w:rPr>
        <w:t xml:space="preserve">&amp;-and, Rd-road, St-street, info-information, </w:t>
      </w:r>
      <w:r>
        <w:rPr>
          <w:b w:val="0"/>
          <w:bCs w:val="0"/>
          <w:sz w:val="24"/>
          <w:szCs w:val="24"/>
        </w:rPr>
        <w:t xml:space="preserve">cont-continue, thru-through, </w:t>
      </w:r>
      <w:r>
        <w:rPr>
          <w:b w:val="0"/>
          <w:bCs w:val="0"/>
          <w:sz w:val="24"/>
          <w:szCs w:val="24"/>
        </w:rPr>
        <w:t xml:space="preserve">PH – public house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91"/>
        <w:pBdr/>
        <w:spacing/>
        <w:ind w:right="0" w:firstLine="0" w:left="-709"/>
        <w:rPr>
          <w:b/>
          <w:bCs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  <w:t xml:space="preserve">Road classifications in brackets usually – not always – means it is not on the signpost.  </w:t>
      </w:r>
      <w:r>
        <w:rPr>
          <w:b w:val="0"/>
          <w:bCs w:val="0"/>
          <w:sz w:val="24"/>
          <w:szCs w:val="24"/>
        </w:rPr>
        <w:t xml:space="preserve">Place names in bold are on route.  Where signposts include place names on route just that place is stated in the instruction.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91"/>
        <w:pBdr/>
        <w:spacing/>
        <w:ind w:right="0" w:firstLine="0" w:left="-709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91"/>
        <w:pBdr/>
        <w:spacing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91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</w:t>
      </w:r>
      <w:r>
        <w:rPr>
          <w:b/>
          <w:bCs/>
          <w:sz w:val="24"/>
          <w:szCs w:val="24"/>
        </w:rPr>
        <w:t xml:space="preserve">tage 1:  Carlton Colville – Fressingfield control – 35.12 km (21.95 miles)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W w:w="4819" w:type="dxa"/>
        <w:tblBorders/>
        <w:tblLayout w:type="fixed"/>
        <w:tblLook w:val="04A0" w:firstRow="1" w:lastRow="0" w:firstColumn="1" w:lastColumn="0" w:noHBand="0" w:noVBand="1"/>
      </w:tblPr>
      <w:tblGrid>
        <w:gridCol w:w="1410"/>
        <w:gridCol w:w="3409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1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40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 from HQ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1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40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Shortly L, SP </w:t>
            </w:r>
            <w:r>
              <w:rPr>
                <w:b/>
                <w:bCs/>
                <w:sz w:val="24"/>
                <w:szCs w:val="24"/>
              </w:rPr>
              <w:t xml:space="preserve">Mutford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1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40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 @ T SP B1127 Ellough, Beccles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1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40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Shortly 1</w:t>
            </w:r>
            <w:r>
              <w:rPr>
                <w:sz w:val="24"/>
                <w:szCs w:val="24"/>
                <w:vertAlign w:val="superscript"/>
              </w:rPr>
              <w:t xml:space="preserve">st</w:t>
            </w:r>
            <w:r>
              <w:rPr>
                <w:sz w:val="24"/>
                <w:szCs w:val="24"/>
              </w:rPr>
              <w:t xml:space="preserve"> L, no SP (Hulver Rd)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1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40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 @ T in </w:t>
            </w:r>
            <w:r>
              <w:rPr>
                <w:b/>
                <w:bCs/>
                <w:sz w:val="24"/>
                <w:szCs w:val="24"/>
              </w:rPr>
              <w:t xml:space="preserve">Weston, </w:t>
            </w:r>
            <w:r>
              <w:rPr>
                <w:b w:val="0"/>
                <w:bCs w:val="0"/>
                <w:sz w:val="24"/>
                <w:szCs w:val="24"/>
              </w:rPr>
              <w:t xml:space="preserve">SP A145 Southwold, Saxmundham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1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40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:vertAlign w:val="superscript"/>
              </w:rPr>
              <w:t xml:space="preserve">st</w:t>
            </w:r>
            <w:r>
              <w:rPr>
                <w:sz w:val="24"/>
                <w:szCs w:val="24"/>
              </w:rPr>
              <w:t xml:space="preserve"> R, no SP (Kings Lane)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1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40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 @ T, SP </w:t>
            </w:r>
            <w:r>
              <w:rPr>
                <w:b/>
                <w:bCs/>
                <w:sz w:val="24"/>
                <w:szCs w:val="24"/>
              </w:rPr>
              <w:t xml:space="preserve">Redisham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1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40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 @ T, SP A144 Halesworth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1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40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:vertAlign w:val="superscript"/>
              </w:rPr>
              <w:t xml:space="preserve">st</w:t>
            </w:r>
            <w:r>
              <w:rPr>
                <w:sz w:val="24"/>
                <w:szCs w:val="24"/>
              </w:rPr>
              <w:t xml:space="preserve"> R, SP </w:t>
            </w:r>
            <w:r>
              <w:rPr>
                <w:b/>
                <w:bCs/>
                <w:sz w:val="24"/>
                <w:szCs w:val="24"/>
              </w:rPr>
              <w:t xml:space="preserve">Rumburgh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1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40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 @ T , SP All Saints, St |Michael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1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40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L, SP </w:t>
            </w:r>
            <w:r>
              <w:rPr>
                <w:b/>
                <w:bCs/>
                <w:sz w:val="24"/>
                <w:szCs w:val="24"/>
              </w:rPr>
              <w:t xml:space="preserve">St James, Metfield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1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40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 @ T, SP </w:t>
            </w:r>
            <w:r>
              <w:rPr>
                <w:b/>
                <w:bCs/>
                <w:sz w:val="24"/>
                <w:szCs w:val="24"/>
              </w:rPr>
              <w:t xml:space="preserve">Fressingfield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1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28.78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40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L @ T(B1123) SP </w:t>
            </w:r>
            <w:r>
              <w:rPr>
                <w:rFonts w:ascii="Liberation Serif" w:hAnsi="Liberation Serif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Fressingfield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</w:tbl>
    <w:tbl>
      <w:tblPr>
        <w:tblStyle w:val="70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417"/>
        <w:gridCol w:w="3402"/>
      </w:tblGrid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29.25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R @ GT, SP </w:t>
            </w:r>
            <w:r>
              <w:rPr>
                <w:b/>
                <w:bCs/>
                <w:sz w:val="24"/>
                <w:szCs w:val="24"/>
              </w:rPr>
              <w:t xml:space="preserve">Fressingfield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</w:tbl>
    <w:tbl>
      <w:tblPr>
        <w:tblStyle w:val="70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417"/>
        <w:gridCol w:w="3402"/>
      </w:tblGrid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 @ T, SP </w:t>
            </w:r>
            <w:r>
              <w:rPr>
                <w:b/>
                <w:bCs/>
                <w:sz w:val="24"/>
                <w:szCs w:val="24"/>
              </w:rPr>
              <w:t xml:space="preserve">Fressingfield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15"/>
        </w:trPr>
        <w:tc>
          <w:tcPr>
            <w:tcBorders/>
            <w:tcW w:w="1417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@ GT in </w:t>
            </w:r>
            <w:r>
              <w:rPr>
                <w:b/>
                <w:bCs/>
                <w:sz w:val="24"/>
                <w:szCs w:val="24"/>
              </w:rPr>
              <w:t xml:space="preserve">Fressingfield</w:t>
            </w:r>
            <w:r>
              <w:rPr>
                <w:b w:val="0"/>
                <w:bCs w:val="0"/>
                <w:sz w:val="24"/>
                <w:szCs w:val="24"/>
              </w:rPr>
              <w:t xml:space="preserve"> take 2 L-forks, SP </w:t>
            </w:r>
            <w:r>
              <w:rPr>
                <w:b/>
                <w:bCs/>
                <w:sz w:val="24"/>
                <w:szCs w:val="24"/>
              </w:rPr>
              <w:t xml:space="preserve">“Eye”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R, SP “Diss (B1118) Wingfield, Hoxne, Eye Medical Centre” </w:t>
            </w:r>
            <w:r>
              <w:rPr>
                <w:b/>
                <w:bCs/>
                <w:sz w:val="24"/>
                <w:szCs w:val="24"/>
              </w:rPr>
              <w:t xml:space="preserve">Mace store/control shortly on 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91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pBdr/>
        <w:spacing/>
        <w:ind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91"/>
        <w:pBdr/>
        <w:spacing/>
        <w:ind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91"/>
        <w:pBdr/>
        <w:spacing/>
        <w:ind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Stage 2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91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Fressingfield control – Gislingham control: 28.78 km (17.99 miles)</w:t>
      </w:r>
      <w:r>
        <w:rPr>
          <w:b/>
          <w:bCs/>
          <w:sz w:val="24"/>
          <w:szCs w:val="24"/>
        </w:rPr>
        <w:t xml:space="preserve"> (see guidance notes for alternative to Gislingham</w:t>
      </w:r>
      <w:r>
        <w:rPr>
          <w:b/>
          <w:bCs/>
          <w:sz w:val="24"/>
          <w:szCs w:val="24"/>
        </w:rPr>
        <w:t xml:space="preserve">)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W w:w="4819" w:type="dxa"/>
        <w:tblBorders/>
        <w:tblLayout w:type="fixed"/>
        <w:tblLook w:val="04A0" w:firstRow="1" w:lastRow="0" w:firstColumn="1" w:lastColumn="0" w:noHBand="0" w:noVBand="1"/>
      </w:tblPr>
      <w:tblGrid>
        <w:gridCol w:w="1470"/>
        <w:gridCol w:w="3349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7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35.12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34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SO from </w:t>
            </w:r>
            <w:r>
              <w:rPr>
                <w:rFonts w:ascii="Liberation Serif" w:hAnsi="Liberation Serif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control</w:t>
            </w:r>
            <w:r>
              <w:rPr>
                <w:rFonts w:ascii="Liberation Serif" w:hAnsi="Liberation Serif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7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34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 @ T (B1118) SP “Hoxne, Diss”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7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40.86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34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L, SP </w:t>
            </w:r>
            <w:r>
              <w:rPr>
                <w:b/>
                <w:bCs/>
                <w:sz w:val="24"/>
                <w:szCs w:val="24"/>
              </w:rPr>
              <w:t xml:space="preserve">“Eye”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7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43.43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34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r>
              <w:rPr>
                <w:b/>
                <w:bCs/>
                <w:sz w:val="24"/>
                <w:szCs w:val="24"/>
              </w:rPr>
              <w:t xml:space="preserve">Heckfield Green</w:t>
            </w:r>
            <w:r>
              <w:rPr>
                <w:b w:val="0"/>
                <w:bCs w:val="0"/>
                <w:sz w:val="24"/>
                <w:szCs w:val="24"/>
              </w:rPr>
              <w:t xml:space="preserve">, L, SP </w:t>
            </w:r>
            <w:r>
              <w:rPr>
                <w:b/>
                <w:bCs/>
                <w:sz w:val="24"/>
                <w:szCs w:val="24"/>
              </w:rPr>
              <w:t xml:space="preserve">“Eye”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7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44.49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34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 @ T, SP </w:t>
            </w:r>
            <w:r>
              <w:rPr>
                <w:b/>
                <w:bCs/>
                <w:sz w:val="24"/>
                <w:szCs w:val="24"/>
              </w:rPr>
              <w:t xml:space="preserve">“Eye”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7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46.95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34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 @ T (B1117) SP </w:t>
            </w:r>
            <w:r>
              <w:rPr>
                <w:b/>
                <w:bCs/>
                <w:sz w:val="24"/>
                <w:szCs w:val="24"/>
              </w:rPr>
              <w:t xml:space="preserve">“Eye”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7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48.63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34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 @ T in </w:t>
            </w:r>
            <w:r>
              <w:rPr>
                <w:b/>
                <w:bCs/>
                <w:sz w:val="24"/>
                <w:szCs w:val="24"/>
              </w:rPr>
              <w:t xml:space="preserve">Eye, </w:t>
            </w:r>
            <w:r>
              <w:rPr>
                <w:b w:val="0"/>
                <w:bCs w:val="0"/>
                <w:sz w:val="24"/>
                <w:szCs w:val="24"/>
              </w:rPr>
              <w:t xml:space="preserve">SP “Brome B1077, Ipswich, Norwich, Diss (A140)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7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48.74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34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L, SP “Ipswich B1117 (A140) </w:t>
            </w:r>
            <w:r>
              <w:rPr>
                <w:b/>
                <w:bCs/>
                <w:sz w:val="24"/>
                <w:szCs w:val="24"/>
              </w:rPr>
              <w:t xml:space="preserve">(CafeEye on R</w:t>
            </w:r>
            <w:r>
              <w:rPr>
                <w:b/>
                <w:bCs/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7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52.09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34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SO @ X with A140 (CARE), SP Thornham Parva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7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53.04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34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 @ Gt, L again, SP </w:t>
            </w:r>
            <w:r>
              <w:rPr>
                <w:b/>
                <w:bCs/>
                <w:sz w:val="24"/>
                <w:szCs w:val="24"/>
              </w:rPr>
              <w:t xml:space="preserve">“Thornham Magna”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7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53.98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34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R @ GT, SP </w:t>
            </w:r>
            <w:r>
              <w:rPr>
                <w:b/>
                <w:bCs/>
                <w:sz w:val="24"/>
                <w:szCs w:val="24"/>
              </w:rPr>
              <w:t xml:space="preserve">Thornham Magna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70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54.75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34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R, SP</w:t>
            </w:r>
            <w:r>
              <w:rPr>
                <w:b/>
                <w:bCs/>
                <w:sz w:val="24"/>
                <w:szCs w:val="24"/>
              </w:rPr>
              <w:t xml:space="preserve"> Gislingham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58.03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34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t xml:space="preserve">In </w:t>
            </w:r>
            <w:r>
              <w:rPr>
                <w:b/>
                <w:bCs/>
              </w:rPr>
              <w:t xml:space="preserve">Gislingham cont SO to Costcutter store/control on R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pStyle w:val="891"/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1"/>
        <w:pBdr/>
        <w:spacing/>
        <w:ind/>
        <w:rPr>
          <w:b w:val="0"/>
          <w:bCs w:val="0"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Stage 3:  Gisling</w:t>
      </w:r>
      <w:r>
        <w:rPr>
          <w:b/>
          <w:bCs/>
          <w:sz w:val="24"/>
          <w:szCs w:val="24"/>
        </w:rPr>
        <w:t xml:space="preserve">ham</w:t>
      </w:r>
      <w:r>
        <w:rPr>
          <w:b/>
          <w:bCs/>
          <w:sz w:val="24"/>
          <w:szCs w:val="24"/>
        </w:rPr>
        <w:t xml:space="preserve"> control – </w:t>
      </w:r>
      <w:r>
        <w:rPr>
          <w:b/>
          <w:bCs/>
          <w:sz w:val="24"/>
          <w:szCs w:val="24"/>
        </w:rPr>
        <w:t xml:space="preserve">Red </w:t>
      </w:r>
      <w:r>
        <w:rPr>
          <w:b/>
          <w:bCs/>
          <w:sz w:val="24"/>
          <w:szCs w:val="24"/>
        </w:rPr>
        <w:t xml:space="preserve">Lodge control – 48.22 km (30.14 miles)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tbl>
      <w:tblPr>
        <w:tblStyle w:val="70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488"/>
        <w:gridCol w:w="2836"/>
      </w:tblGrid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1"/>
              <w:pBdr/>
              <w:spacing/>
              <w:ind w:right="0" w:firstLine="0" w:left="-709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          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58.03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SO from </w:t>
            </w:r>
            <w:r>
              <w:rPr>
                <w:rFonts w:ascii="Liberation Serif" w:hAnsi="Liberation Serif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control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58.75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1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superscript"/>
              </w:rPr>
              <w:t xml:space="preserve">st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 R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, SP </w:t>
            </w:r>
            <w:r>
              <w:rPr>
                <w:rFonts w:ascii="Liberation Serif" w:hAnsi="Liberation Serif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Walsham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60.78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L @ T, SP B1113, Finningham, Stowmarket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61.09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1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superscript"/>
              </w:rPr>
              <w:t xml:space="preserve">st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 R @ L-hand bend, SP W</w:t>
            </w:r>
            <w:r>
              <w:rPr>
                <w:rFonts w:ascii="Liberation Serif" w:hAnsi="Liberation Serif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alsham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65.6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In </w:t>
            </w:r>
            <w:r>
              <w:rPr>
                <w:rFonts w:ascii="Liberation Serif" w:hAnsi="Liberation Serif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Walsham Le Willows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, SO SP Ixworth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73.13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SO (2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superscript"/>
              </w:rPr>
              <w:t xml:space="preserve">nd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 exit) @ RAB, SP’s A1088 Thetford </w:t>
            </w:r>
            <w:r>
              <w:rPr>
                <w:rFonts w:ascii="Liberation Serif" w:hAnsi="Liberation Serif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(CARE: Crossing busy A143)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74.84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L,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Troston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78.12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In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Troston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, L, SP Bury St Edmunds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In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Gt Livermere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, follow LH BEND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79.74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Follow RH bend,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Timworth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82.62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R @ LH bend, no SP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83.16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L @ T, SP Hengrave, Culford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84.14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L @ T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(CARE, busy A134)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&amp; almost imm into RH slip-lane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(CARE)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, no SP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85.71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SO @ X, no SP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86.07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R @ X,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West Stow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88.51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In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West Stow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, L, SP Icklingham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92.03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L @ T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(CARE; busy A1101)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Lackford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92.75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R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(CARE)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Cavenham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95.55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R @ X(GT), SP 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Cavenham, Tuddenham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100.03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After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Tuddenham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. 1st L, no SP ( tourist sign for Icknield Way attached to Give Way sign)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104.07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 R @ X,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Red Lodge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105.00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 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R (3rd exit) @ RAB, no imm SP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105.45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89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On exiting RAB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 w:val="0"/>
                <w:bCs w:val="0"/>
                <w:sz w:val="24"/>
                <w:szCs w:val="24"/>
              </w:rPr>
              <w:t xml:space="preserve">imm L onto cycle path </w:t>
            </w:r>
            <w:r>
              <w:rPr>
                <w:b/>
                <w:bCs/>
                <w:sz w:val="24"/>
                <w:szCs w:val="24"/>
              </w:rPr>
              <w:t xml:space="preserve">(Buttercup Walk)</w:t>
            </w:r>
            <w:r>
              <w:rPr>
                <w:b w:val="0"/>
                <w:bCs w:val="0"/>
                <w:sz w:val="24"/>
                <w:szCs w:val="24"/>
              </w:rPr>
              <w:t xml:space="preserve">, opp pedestrian refuge and SP for Sports Pavilion, Kings Warren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When reaching the road, stay on the cycle path as the road is one-way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105.7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R off cycle path, opp car park entrance road, just before parish council notice board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 (Mighty Mug caf</w:t>
            </w:r>
            <w:r>
              <w:rPr>
                <w:b/>
                <w:bCs/>
                <w:sz w:val="24"/>
                <w:szCs w:val="24"/>
              </w:rPr>
              <w:t xml:space="preserve">e </w:t>
            </w:r>
            <w:r>
              <w:rPr>
                <w:b w:val="0"/>
                <w:bCs w:val="0"/>
                <w:sz w:val="24"/>
                <w:szCs w:val="24"/>
              </w:rPr>
              <w:t xml:space="preserve">can be seen)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8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106.25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Follow car park road to the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Mighty Mug cafe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</w:tbl>
    <w:p>
      <w:pPr>
        <w:pStyle w:val="891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91"/>
        <w:pBdr/>
        <w:spacing/>
        <w:ind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  <w:t xml:space="preserve">Stage 4: Red Lodge control – Gislingham control</w:t>
      </w:r>
      <w:r>
        <w:rPr>
          <w:b/>
          <w:bCs/>
          <w:sz w:val="24"/>
          <w:szCs w:val="24"/>
          <w:highlight w:val="none"/>
        </w:rPr>
        <w:t xml:space="preserve"> (48.22</w:t>
      </w:r>
      <w:r>
        <w:rPr>
          <w:b/>
          <w:bCs/>
          <w:sz w:val="24"/>
          <w:szCs w:val="24"/>
          <w:highlight w:val="none"/>
        </w:rPr>
        <w:t xml:space="preserve"> km/30.14 miles)</w:t>
      </w:r>
      <w:r>
        <w:rPr>
          <w:b/>
          <w:bCs/>
          <w:sz w:val="24"/>
          <w:szCs w:val="24"/>
          <w:highlight w:val="none"/>
        </w:rPr>
        <w:t xml:space="preserve"> (see guidance notes for alternative to Gislingham)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tbl>
      <w:tblPr>
        <w:tblStyle w:val="70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487"/>
        <w:gridCol w:w="2836"/>
      </w:tblGrid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106.25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SO from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control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 along car park road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106.8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L onto cycle path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107.05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Exit cycle path/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Buttercup Walk,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 crossing road using refuge, L (in effect SO), SP, Kentford Kennett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108.43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L,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Tuddenham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112.47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R @ T, no SP (sign for Icknield Way)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116.95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Shortly after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Cavenham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 boundary sign, L @ GT &amp; T, SP (opp side of GT)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Lackford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119.75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L @ T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(CARE)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, SP Mildenhall (A1101) Icklingham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120.47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R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(CARE)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,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West Stow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, R, SP Fornham St Martin, Bury St Edmunds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123.99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  <w:highlight w:val="none"/>
              </w:rPr>
            </w:pPr>
            <w:r>
              <w:t xml:space="preserve">In </w:t>
            </w:r>
            <w:r>
              <w:rPr>
                <w:b/>
                <w:bCs/>
              </w:rPr>
              <w:t xml:space="preserve">West Stow</w:t>
            </w:r>
            <w:r>
              <w:rPr>
                <w:b w:val="0"/>
                <w:bCs w:val="0"/>
              </w:rPr>
              <w:t xml:space="preserve">, R, SP Fornham St Martin, Bury St Edmunds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126.43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L, SP,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Timworth, Gt Livermere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126.79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SO @ slightly staggered X, no SP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128.36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L @ T, no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(CARE busy A134 &amp;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imm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(CARE)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into R-hand filter lane,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Timworth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129.34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R,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Gt Livermere, Troston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129.88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L @ T, no SP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In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Gt Livermere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,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follow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R-hand bend, SP,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Troston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0"/>
        </w:trPr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132.76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In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Troston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, follow L &amp; &amp; R-hand bends,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137.66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R @ T, no SP (A1088)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</w:tbl>
    <w:tbl>
      <w:tblPr>
        <w:tblStyle w:val="70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417"/>
        <w:gridCol w:w="2906"/>
      </w:tblGrid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139.37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SO (2nd exit) @ RAB, SP (on approach)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Walsham Le Willows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146.9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SO thru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Walsham Le Willows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, SP’s Finningham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151.41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L @ GT &amp; T, no SP (B1113)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>
          <w:trHeight w:val="665"/>
        </w:trPr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151.72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1st R,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Gislingham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153.75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L @ T,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Eye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154.47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In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Gislingham, Costcutter store/control on L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, 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</w:tbl>
    <w:p>
      <w:pPr>
        <w:pStyle w:val="891"/>
        <w:pBdr/>
        <w:spacing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91"/>
        <w:pBdr/>
        <w:spacing/>
        <w:ind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Stage 5: Gislingham control – Fressingfield control</w:t>
      </w:r>
      <w:r>
        <w:rPr>
          <w:b/>
          <w:bCs/>
          <w:sz w:val="24"/>
          <w:szCs w:val="24"/>
        </w:rPr>
        <w:t xml:space="preserve"> (22.91 km/14.32 miles)</w:t>
      </w:r>
      <w:r>
        <w:rPr>
          <w:b/>
          <w:bCs/>
          <w:sz w:val="24"/>
          <w:szCs w:val="24"/>
        </w:rPr>
        <w:t xml:space="preserve"> (see guidance notes for alternative to Fressingfield)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tbl>
      <w:tblPr>
        <w:tblStyle w:val="70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417"/>
        <w:gridCol w:w="2906"/>
      </w:tblGrid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154.47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SO from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control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, SPs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Thornham Magna, Eye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157.75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In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Thornham Magna,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L @ T,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Thornham Parva, Eye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158.52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L @ GT and T, SP,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Thornham Parva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(NOT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SO to Eye)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159.46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R @ GT &amp; T,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Thornham Parva, Eye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160.41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SO @ X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(CARE: crossing busy A140)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,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Eye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163.76</w:t>
            </w:r>
            <w:r/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In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Eye,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R @ T, SP Stradbroke (B1117), Debenham (B1077)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>
          <w:trHeight w:val="146"/>
        </w:trPr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163.87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1st L, SP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Hoxne, Stradbroke, Halesworth (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B1117)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165.55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L, SP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Hoxne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168.01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R, SP </w:t>
            </w:r>
            <w:r>
              <w:rPr>
                <w:b/>
                <w:bCs/>
                <w:sz w:val="28"/>
                <w:szCs w:val="28"/>
                <w:highlight w:val="none"/>
              </w:rPr>
              <w:t xml:space="preserve">Hoxne Cross St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169.07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R @ T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, SP (on L)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Fressingfield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171.64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R @ T (B1118), SP  Stradbroke, Framlingham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173.04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L,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Fressingfield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</w:tbl>
    <w:tbl>
      <w:tblPr>
        <w:tblStyle w:val="70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487"/>
        <w:gridCol w:w="2836"/>
      </w:tblGrid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177.38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In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Fressingfield, Mace store/control on R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</w:tbl>
    <w:p>
      <w:pPr>
        <w:pStyle w:val="891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Style w:val="70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417"/>
        <w:gridCol w:w="2906"/>
      </w:tblGrid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154.47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SO from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control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, SPs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Thornham Magna, Eye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157.75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In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Thornham Magna,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L @ T,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Thornham Parva, Eye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158.52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L @ GT and T, SP,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Thornham Parva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(NOT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SO to Eye)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159.46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R @ GT &amp; T,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Thornham Parva, Eye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160.41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SO @ X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(CARE: crossing busy A140)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,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Eye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163.76</w:t>
            </w:r>
            <w:r/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In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Eye,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R @ T, SP Stradbroke (B1117), Debenham (B1077)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>
          <w:trHeight w:val="146"/>
        </w:trPr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163.87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1st L, SP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Hoxne, Stradbroke, Halesworth (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B1117)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165.55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L, SP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Hoxne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168.01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R, SP </w:t>
            </w:r>
            <w:r>
              <w:rPr>
                <w:b/>
                <w:bCs/>
                <w:sz w:val="28"/>
                <w:szCs w:val="28"/>
                <w:highlight w:val="none"/>
              </w:rPr>
              <w:t xml:space="preserve">Hoxne Cross St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169.07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R @ T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, SP (on L)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Fressingfield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171.64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R @ T (B1118), SP  Stradbroke, Framlingham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173.04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L,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Fressingfield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</w:tbl>
    <w:tbl>
      <w:tblPr>
        <w:tblStyle w:val="70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487"/>
        <w:gridCol w:w="2836"/>
      </w:tblGrid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177.38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In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Fressingfield, Mace store/control on R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</w:tbl>
    <w:p>
      <w:pPr>
        <w:pStyle w:val="891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pBdr/>
        <w:spacing/>
        <w:ind w:right="0" w:firstLine="0" w:left="0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t xml:space="preserve">Stage 6:  Fressingfield control – Carlton Colville Community Centre</w:t>
      </w:r>
      <w:r>
        <w:rPr>
          <w:b/>
          <w:bCs/>
          <w:sz w:val="24"/>
          <w:szCs w:val="24"/>
          <w:highlight w:val="none"/>
        </w:rPr>
        <w:t xml:space="preserve">/finish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tbl>
      <w:tblPr>
        <w:tblStyle w:val="70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487"/>
        <w:gridCol w:w="71"/>
        <w:gridCol w:w="2764"/>
      </w:tblGrid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177.38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SO from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control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&amp;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 L @ T, SP (on fence L), Bungay B1116, Weybread, Harleston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177.85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R @ GT/T (War Memorial),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Metfield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178.07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2nd L, no SP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183.25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In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Metfield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, L @ GT/T, SP Harleston, Bungay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183.72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R @ L-hand bend,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St James South Elmham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183.94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L,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St James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189.55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R @ T, SP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Rumburgh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191.00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83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In </w:t>
            </w:r>
            <w:r>
              <w:rPr>
                <w:rFonts w:ascii="Liberation Serif" w:hAnsi="Liberation Serif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Rumburgh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, L, SP, </w:t>
            </w:r>
            <w:r>
              <w:rPr>
                <w:rFonts w:ascii="Liberation Serif" w:hAnsi="Liberation Serif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Rumburgh St, St Lawrence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195.16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836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L @ T, SP Bungay A144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195.35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836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 1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superscript"/>
              </w:rPr>
              <w:t xml:space="preserve">st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 R </w:t>
            </w:r>
            <w:r>
              <w:rPr>
                <w:rFonts w:ascii="Liberation Serif" w:hAnsi="Liberation Serif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(CARE)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, SP (somewhat hidden), </w:t>
            </w:r>
            <w:r>
              <w:rPr>
                <w:rFonts w:ascii="Liberation Serif" w:hAnsi="Liberation Serif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Redisham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200.98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836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R @ L-hand bend </w:t>
            </w:r>
            <w:r>
              <w:rPr>
                <w:rFonts w:ascii="Liberation Serif" w:hAnsi="Liberation Serif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(Kings Lane), 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SP </w:t>
            </w:r>
            <w:r>
              <w:rPr>
                <w:rFonts w:ascii="Liberation Serif" w:hAnsi="Liberation Serif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(after turning &amp; somewhat hidden) 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Shadingfield, Wangford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202.64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836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L @ T, no SP (A145)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202.84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836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1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superscript"/>
              </w:rPr>
              <w:t xml:space="preserve">st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 R </w:t>
            </w:r>
            <w:r>
              <w:rPr>
                <w:rFonts w:ascii="Liberation Serif" w:hAnsi="Liberation Serif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(CARE)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, SP </w:t>
            </w:r>
            <w:r>
              <w:rPr>
                <w:rFonts w:ascii="Liberation Serif" w:hAnsi="Liberation Serif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Hulver, Ellough Village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207.16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836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R @ T, no SP (B1127)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207.36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836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1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superscript"/>
              </w:rPr>
              <w:t xml:space="preserve">st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 L, no SP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1487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212.18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836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R @ T, SP Kessingland, Gisleham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</w:tbl>
    <w:tbl>
      <w:tblPr>
        <w:tblStyle w:val="70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417"/>
        <w:gridCol w:w="2906"/>
      </w:tblGrid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212.38</w:t>
            </w:r>
            <w:r/>
          </w:p>
        </w:tc>
        <w:tc>
          <w:tcPr>
            <w:tcBorders/>
            <w:tcW w:w="2906" w:type="dxa"/>
            <w:textDirection w:val="lrTb"/>
            <w:noWrap w:val="false"/>
          </w:tcPr>
          <w:p>
            <w:pPr>
              <w:pStyle w:val="891"/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FINISH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shortly on R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</w:tbl>
    <w:p>
      <w:pPr>
        <w:pStyle w:val="891"/>
        <w:pBdr/>
        <w:spacing/>
        <w:ind w:right="0" w:firstLine="0" w:left="0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Bdr/>
        <w:shd w:val="nil" w:color="auto"/>
        <w:spacing/>
        <w:ind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br w:type="page" w:clear="all"/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91"/>
        <w:pBdr/>
        <w:spacing/>
        <w:ind w:right="0" w:firstLine="0" w:left="0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91"/>
        <w:pBdr/>
        <w:spacing/>
        <w:ind w:right="0" w:firstLine="0" w:left="-709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  <w:t xml:space="preserve">  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91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pBdr/>
        <w:spacing/>
        <w:ind w:right="0" w:firstLine="0" w:left="-709"/>
        <w:rPr>
          <w:b/>
          <w:bCs/>
          <w:sz w:val="24"/>
          <w:szCs w:val="24"/>
          <w:highlight w:val="none"/>
        </w:rPr>
      </w:pPr>
      <w:r>
        <w:rPr>
          <w:b/>
          <w:bCs/>
          <w:highlight w:val="none"/>
        </w:rPr>
        <w:t xml:space="preserve">     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91"/>
        <w:pBdr/>
        <w:spacing/>
        <w:ind w:right="0" w:firstLine="0" w:left="-709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91"/>
        <w:pBdr/>
        <w:spacing/>
        <w:ind w:right="0" w:firstLine="0" w:left="-709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91"/>
        <w:pBdr/>
        <w:spacing/>
        <w:ind w:right="0" w:firstLine="0" w:left="-709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91"/>
        <w:pBdr/>
        <w:spacing/>
        <w:ind w:right="0" w:firstLine="0" w:left="-709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91"/>
        <w:pBdr/>
        <w:spacing/>
        <w:ind w:right="0" w:firstLine="0" w:left="-709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91"/>
        <w:pBdr/>
        <w:spacing/>
        <w:ind w:right="0" w:firstLine="0" w:left="-709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         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891"/>
        <w:pBdr/>
        <w:spacing/>
        <w:ind w:right="0" w:firstLine="0" w:left="-709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891"/>
        <w:pBdr/>
        <w:spacing/>
        <w:ind w:right="0" w:firstLine="0" w:left="-709"/>
        <w:rPr>
          <w:b/>
          <w:bCs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91"/>
        <w:pBdr/>
        <w:spacing/>
        <w:ind w:right="0" w:firstLine="0" w:left="-709"/>
        <w:rPr>
          <w:b/>
          <w:bCs/>
          <w:highlight w:val="none"/>
        </w:rPr>
      </w:pPr>
      <w:r>
        <w:rPr>
          <w:b/>
          <w:bCs/>
          <w:highlight w:val="none"/>
        </w:rPr>
        <w:br w:type="column"/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91"/>
        <w:pBdr/>
        <w:spacing/>
        <w:ind w:right="0" w:firstLine="0" w:left="-709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91"/>
        <w:pBdr/>
        <w:spacing/>
        <w:ind w:right="0" w:firstLine="0" w:left="-709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91"/>
        <w:pBdr/>
        <w:spacing/>
        <w:ind w:right="0" w:firstLine="0" w:left="-709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91"/>
        <w:pBdr/>
        <w:spacing/>
        <w:ind w:right="0" w:firstLine="0" w:left="-709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91"/>
        <w:pBdr/>
        <w:spacing/>
        <w:ind w:right="0" w:firstLine="0" w:left="-709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91"/>
        <w:pBdr/>
        <w:spacing/>
        <w:ind w:right="0" w:firstLine="0" w:left="-709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91"/>
        <w:pBdr/>
        <w:spacing/>
        <w:ind w:right="0" w:firstLine="0" w:left="-709"/>
        <w:rPr>
          <w:b w:val="0"/>
          <w:bCs w:val="0"/>
          <w:sz w:val="24"/>
          <w:szCs w:val="24"/>
          <w:highlight w:val="none"/>
        </w:rPr>
      </w:pPr>
      <w:r>
        <w:rPr>
          <w:b/>
          <w:bCs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891"/>
        <w:pBdr/>
        <w:spacing/>
        <w:ind w:right="0" w:firstLine="0" w:left="0"/>
        <w:rPr>
          <w:b/>
          <w:bCs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89"/>
        <w:pBdr/>
        <w:spacing/>
        <w:ind w:right="0" w:firstLine="0" w:left="-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9"/>
        <w:pBdr/>
        <w:spacing/>
        <w:ind w:right="284" w:firstLine="709" w:left="-709"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2" w:sep="0" w:space="709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paragraph" w:styleId="891" w:customStyle="1">
    <w:name w:val="Standard"/>
    <w:basedOn w:val="887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Liberation Serif" w:hAnsi="Liberation Serif" w:eastAsia="NSimSu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GB" w:eastAsia="zh-CN" w:bidi="hi-IN"/>
      <w14:ligatures w14:val="none"/>
    </w:rPr>
  </w:style>
  <w:style w:type="paragraph" w:styleId="892" w:customStyle="1">
    <w:name w:val="Table Contents"/>
    <w:basedOn w:val="888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Liberation Serif" w:hAnsi="Liberation Serif" w:eastAsia="NSimSu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GB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modified xsi:type="dcterms:W3CDTF">2026-01-07T19:51:19Z</dcterms:modified>
</cp:coreProperties>
</file>